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DE2" w14:textId="422C4523" w:rsidR="00895C6A" w:rsidRDefault="00895C6A" w:rsidP="00EA52CC">
      <w:pPr>
        <w:tabs>
          <w:tab w:val="left" w:pos="1943"/>
        </w:tabs>
        <w:jc w:val="both"/>
      </w:pP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0E30D0A" w14:textId="77777777" w:rsidR="009A3F9F" w:rsidRDefault="009A3F9F" w:rsidP="00EA52CC">
      <w:pPr>
        <w:jc w:val="both"/>
        <w:rPr>
          <w:b/>
        </w:rPr>
      </w:pPr>
    </w:p>
    <w:p w14:paraId="439D9EB5" w14:textId="4FABA811" w:rsidR="00F063BF" w:rsidRDefault="00EA52CC" w:rsidP="0034616D">
      <w:pPr>
        <w:ind w:firstLine="709"/>
        <w:jc w:val="both"/>
      </w:pPr>
      <w:bookmarkStart w:id="0" w:name="__DdeLink__146_2610451006"/>
      <w:r w:rsidRPr="007254C1">
        <w:rPr>
          <w:rFonts w:eastAsia="Calibri"/>
          <w:lang w:eastAsia="en-US"/>
        </w:rPr>
        <w:t xml:space="preserve">Mustafa Kemal, </w:t>
      </w:r>
      <w:proofErr w:type="spellStart"/>
      <w:r w:rsidRPr="007254C1">
        <w:rPr>
          <w:rFonts w:eastAsia="Calibri"/>
          <w:lang w:eastAsia="en-US"/>
        </w:rPr>
        <w:t>Törekent</w:t>
      </w:r>
      <w:proofErr w:type="spellEnd"/>
      <w:r w:rsidRPr="007254C1">
        <w:rPr>
          <w:rFonts w:eastAsia="Calibri"/>
          <w:lang w:eastAsia="en-US"/>
        </w:rPr>
        <w:t xml:space="preserve"> ve Yeni </w:t>
      </w:r>
      <w:proofErr w:type="spellStart"/>
      <w:r w:rsidRPr="007254C1">
        <w:rPr>
          <w:rFonts w:eastAsia="Calibri"/>
          <w:lang w:eastAsia="en-US"/>
        </w:rPr>
        <w:t>Çimşit</w:t>
      </w:r>
      <w:proofErr w:type="spellEnd"/>
      <w:r w:rsidRPr="007254C1">
        <w:rPr>
          <w:rFonts w:eastAsia="Calibri"/>
          <w:lang w:eastAsia="en-US"/>
        </w:rPr>
        <w:t xml:space="preserve"> Mahallelerinde yeni açılacak Yarı Olimpik Kapalı Yüzme Havuzlarında uygulanacak üyelik ve yüzme kursu </w:t>
      </w:r>
      <w:r w:rsidRPr="003E7C48">
        <w:t xml:space="preserve">ücret tarifesinin belirlenmesi ile ilgili </w:t>
      </w:r>
      <w:r w:rsidRPr="00EA52CC">
        <w:rPr>
          <w:rFonts w:eastAsia="Calibri"/>
          <w:bCs/>
        </w:rPr>
        <w:t>Hukuk ve Tarifeler Komisyonu</w:t>
      </w:r>
      <w:r w:rsidRPr="00EA52CC">
        <w:t xml:space="preserve"> ile </w:t>
      </w:r>
      <w:r w:rsidRPr="00EA52CC">
        <w:rPr>
          <w:rFonts w:eastAsia="Calibri"/>
          <w:bCs/>
        </w:rPr>
        <w:t>Plan ve Bütçe Komisyonu</w:t>
      </w:r>
      <w:r w:rsidR="00F063BF" w:rsidRPr="00EA52CC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05.05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5D0D10BA" w14:textId="77777777" w:rsidR="00EA52CC" w:rsidRDefault="00C06786" w:rsidP="00EA52CC">
      <w:pPr>
        <w:ind w:firstLine="708"/>
        <w:jc w:val="both"/>
      </w:pPr>
      <w:proofErr w:type="gramStart"/>
      <w:r w:rsidRPr="002B372D">
        <w:t>(</w:t>
      </w:r>
      <w:proofErr w:type="gramEnd"/>
      <w:r w:rsidR="00EA52CC">
        <w:t xml:space="preserve">Belediye meclisimizin 02.05.2023 tarihinde yapmış olduğu birleşimde görüşülerek komisyonlarımıza havale edilen, </w:t>
      </w:r>
      <w:r w:rsidR="00EA52CC" w:rsidRPr="000E6514">
        <w:t xml:space="preserve">Mustafa Kemal, </w:t>
      </w:r>
      <w:proofErr w:type="spellStart"/>
      <w:r w:rsidR="00EA52CC" w:rsidRPr="000E6514">
        <w:t>Törekent</w:t>
      </w:r>
      <w:proofErr w:type="spellEnd"/>
      <w:r w:rsidR="00EA52CC" w:rsidRPr="000E6514">
        <w:t xml:space="preserve"> ve Yeni </w:t>
      </w:r>
      <w:proofErr w:type="spellStart"/>
      <w:r w:rsidR="00EA52CC" w:rsidRPr="000E6514">
        <w:t>Çimşit</w:t>
      </w:r>
      <w:proofErr w:type="spellEnd"/>
      <w:r w:rsidR="00EA52CC" w:rsidRPr="000E6514">
        <w:t xml:space="preserve"> Mahallelerinde yeni açılacak Yarı Olimpik Kapalı Yüzme Havuzlarında uygulanacak üyelik ve yüzme kursu ücret tarifesinin belirlenmesi ile ilgili </w:t>
      </w:r>
      <w:r w:rsidR="00EA52CC">
        <w:t>dosya incelendi.</w:t>
      </w:r>
    </w:p>
    <w:p w14:paraId="594792ED" w14:textId="77777777" w:rsidR="00EA52CC" w:rsidRDefault="00EA52CC" w:rsidP="00EA52CC">
      <w:pPr>
        <w:ind w:firstLine="708"/>
        <w:jc w:val="both"/>
      </w:pPr>
      <w:r>
        <w:t xml:space="preserve">Komisyonlarımızca yapılan görüşme ve değerlendirmelerde; </w:t>
      </w:r>
    </w:p>
    <w:p w14:paraId="29DC6265" w14:textId="77777777" w:rsidR="00EA52CC" w:rsidRDefault="00EA52CC" w:rsidP="00EA52CC">
      <w:pPr>
        <w:ind w:firstLine="708"/>
        <w:jc w:val="both"/>
      </w:pPr>
      <w:proofErr w:type="gramStart"/>
      <w:r>
        <w:t xml:space="preserve">2464 sayılı Belediye Gelirleri Kanununun 97. maddesi ile 5393 sayılı Belediye Kanunu’nun 18/f maddesi gereğince, Belediyemiz mülkiyetinde bulunan, </w:t>
      </w:r>
      <w:r w:rsidRPr="000E6514">
        <w:t xml:space="preserve">Mustafa Kemal, </w:t>
      </w:r>
      <w:proofErr w:type="spellStart"/>
      <w:r w:rsidRPr="000E6514">
        <w:t>Törekent</w:t>
      </w:r>
      <w:proofErr w:type="spellEnd"/>
      <w:r w:rsidRPr="000E6514">
        <w:t xml:space="preserve"> ve Yeni </w:t>
      </w:r>
      <w:proofErr w:type="spellStart"/>
      <w:r w:rsidRPr="000E6514">
        <w:t>Çimşit</w:t>
      </w:r>
      <w:proofErr w:type="spellEnd"/>
      <w:r w:rsidRPr="000E6514">
        <w:t xml:space="preserve"> Mahallelerinde </w:t>
      </w:r>
      <w:r>
        <w:t xml:space="preserve">Kültür ve Sosyal İşler Müdürlüğü bünyesinde hizmet verecek olan </w:t>
      </w:r>
      <w:r w:rsidRPr="000E6514">
        <w:t>Yarı Olimpik Kapalı Yüzme Havuzlarında uygulanacak üyelik ve yüzme kursu ücret</w:t>
      </w:r>
      <w:r>
        <w:t>lerin</w:t>
      </w:r>
      <w:r w:rsidRPr="000E6514">
        <w:t xml:space="preserve"> </w:t>
      </w:r>
      <w:r>
        <w:t>aşağıdaki tutarlarda uygulanması komisyonlarımızca uygun görülmüştür.</w:t>
      </w:r>
      <w:proofErr w:type="gramEnd"/>
    </w:p>
    <w:p w14:paraId="06B77D6F" w14:textId="6176FC62" w:rsidR="00EA52CC" w:rsidRDefault="00EA52CC" w:rsidP="00EA52CC">
      <w:pPr>
        <w:ind w:firstLine="708"/>
        <w:jc w:val="both"/>
      </w:pPr>
    </w:p>
    <w:tbl>
      <w:tblPr>
        <w:tblStyle w:val="TabloKlavuzu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A52CC" w:rsidRPr="00943454" w14:paraId="4F6F9448" w14:textId="77777777" w:rsidTr="003013A8">
        <w:tc>
          <w:tcPr>
            <w:tcW w:w="9062" w:type="dxa"/>
            <w:gridSpan w:val="5"/>
          </w:tcPr>
          <w:p w14:paraId="4853BC67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ÜYELİK ÜCRETLERİ</w:t>
            </w:r>
          </w:p>
        </w:tc>
      </w:tr>
      <w:tr w:rsidR="00EA52CC" w:rsidRPr="00943454" w14:paraId="7A3A90AE" w14:textId="77777777" w:rsidTr="003013A8">
        <w:tc>
          <w:tcPr>
            <w:tcW w:w="1812" w:type="dxa"/>
          </w:tcPr>
          <w:p w14:paraId="06987855" w14:textId="77777777" w:rsidR="00EA52CC" w:rsidRPr="00943454" w:rsidRDefault="00EA52CC" w:rsidP="003013A8">
            <w:pPr>
              <w:rPr>
                <w:b/>
              </w:rPr>
            </w:pPr>
          </w:p>
        </w:tc>
        <w:tc>
          <w:tcPr>
            <w:tcW w:w="1812" w:type="dxa"/>
          </w:tcPr>
          <w:p w14:paraId="224D171E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1 AYLIK</w:t>
            </w:r>
          </w:p>
        </w:tc>
        <w:tc>
          <w:tcPr>
            <w:tcW w:w="1812" w:type="dxa"/>
          </w:tcPr>
          <w:p w14:paraId="027CA342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3 AYLIK</w:t>
            </w:r>
          </w:p>
        </w:tc>
        <w:tc>
          <w:tcPr>
            <w:tcW w:w="1813" w:type="dxa"/>
          </w:tcPr>
          <w:p w14:paraId="028FC7CA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6 AYLIK</w:t>
            </w:r>
          </w:p>
        </w:tc>
        <w:tc>
          <w:tcPr>
            <w:tcW w:w="1813" w:type="dxa"/>
          </w:tcPr>
          <w:p w14:paraId="60F03553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YILLIK</w:t>
            </w:r>
          </w:p>
        </w:tc>
      </w:tr>
      <w:tr w:rsidR="00EA52CC" w:rsidRPr="00943454" w14:paraId="2F566E1B" w14:textId="77777777" w:rsidTr="003013A8">
        <w:tc>
          <w:tcPr>
            <w:tcW w:w="1812" w:type="dxa"/>
          </w:tcPr>
          <w:p w14:paraId="33CD4C1D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YETİŞKİN</w:t>
            </w:r>
          </w:p>
        </w:tc>
        <w:tc>
          <w:tcPr>
            <w:tcW w:w="1812" w:type="dxa"/>
          </w:tcPr>
          <w:p w14:paraId="65EDB366" w14:textId="77777777" w:rsidR="00EA52CC" w:rsidRPr="00943454" w:rsidRDefault="00EA52CC" w:rsidP="003013A8">
            <w:pPr>
              <w:jc w:val="center"/>
            </w:pPr>
            <w:r w:rsidRPr="00943454">
              <w:t>200 TL</w:t>
            </w:r>
          </w:p>
        </w:tc>
        <w:tc>
          <w:tcPr>
            <w:tcW w:w="1812" w:type="dxa"/>
          </w:tcPr>
          <w:p w14:paraId="6B08391A" w14:textId="77777777" w:rsidR="00EA52CC" w:rsidRPr="00943454" w:rsidRDefault="00EA52CC" w:rsidP="003013A8">
            <w:pPr>
              <w:jc w:val="center"/>
            </w:pPr>
            <w:r w:rsidRPr="00943454">
              <w:t>500 TL</w:t>
            </w:r>
          </w:p>
        </w:tc>
        <w:tc>
          <w:tcPr>
            <w:tcW w:w="1813" w:type="dxa"/>
          </w:tcPr>
          <w:p w14:paraId="35838D9C" w14:textId="77777777" w:rsidR="00EA52CC" w:rsidRPr="00943454" w:rsidRDefault="00EA52CC" w:rsidP="003013A8">
            <w:pPr>
              <w:jc w:val="center"/>
            </w:pPr>
            <w:r>
              <w:t>900</w:t>
            </w:r>
            <w:r w:rsidRPr="00943454">
              <w:t xml:space="preserve"> TL</w:t>
            </w:r>
          </w:p>
        </w:tc>
        <w:tc>
          <w:tcPr>
            <w:tcW w:w="1813" w:type="dxa"/>
          </w:tcPr>
          <w:p w14:paraId="12DC7A8F" w14:textId="77777777" w:rsidR="00EA52CC" w:rsidRPr="00943454" w:rsidRDefault="00EA52CC" w:rsidP="003013A8">
            <w:pPr>
              <w:jc w:val="center"/>
            </w:pPr>
            <w:r>
              <w:t>1600</w:t>
            </w:r>
            <w:r w:rsidRPr="00943454">
              <w:t xml:space="preserve"> TL</w:t>
            </w:r>
          </w:p>
        </w:tc>
      </w:tr>
      <w:tr w:rsidR="00EA52CC" w:rsidRPr="00943454" w14:paraId="2832FCD1" w14:textId="77777777" w:rsidTr="003013A8">
        <w:tc>
          <w:tcPr>
            <w:tcW w:w="1812" w:type="dxa"/>
          </w:tcPr>
          <w:p w14:paraId="21CAD774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ÖĞRENCİ</w:t>
            </w:r>
          </w:p>
        </w:tc>
        <w:tc>
          <w:tcPr>
            <w:tcW w:w="1812" w:type="dxa"/>
          </w:tcPr>
          <w:p w14:paraId="7DB84837" w14:textId="77777777" w:rsidR="00EA52CC" w:rsidRPr="00943454" w:rsidRDefault="00EA52CC" w:rsidP="003013A8">
            <w:pPr>
              <w:jc w:val="center"/>
            </w:pPr>
            <w:r>
              <w:t>100</w:t>
            </w:r>
            <w:r w:rsidRPr="00943454">
              <w:t xml:space="preserve"> TL</w:t>
            </w:r>
          </w:p>
        </w:tc>
        <w:tc>
          <w:tcPr>
            <w:tcW w:w="1812" w:type="dxa"/>
          </w:tcPr>
          <w:p w14:paraId="21B76656" w14:textId="77777777" w:rsidR="00EA52CC" w:rsidRPr="00943454" w:rsidRDefault="00EA52CC" w:rsidP="003013A8">
            <w:pPr>
              <w:jc w:val="center"/>
            </w:pPr>
            <w:r>
              <w:t>250</w:t>
            </w:r>
            <w:r w:rsidRPr="00943454">
              <w:t xml:space="preserve"> TL</w:t>
            </w:r>
          </w:p>
        </w:tc>
        <w:tc>
          <w:tcPr>
            <w:tcW w:w="1813" w:type="dxa"/>
          </w:tcPr>
          <w:p w14:paraId="13DDAA91" w14:textId="77777777" w:rsidR="00EA52CC" w:rsidRPr="00943454" w:rsidRDefault="00EA52CC" w:rsidP="003013A8">
            <w:pPr>
              <w:jc w:val="center"/>
            </w:pPr>
            <w:r>
              <w:t>450</w:t>
            </w:r>
            <w:r w:rsidRPr="00943454">
              <w:t xml:space="preserve"> TL</w:t>
            </w:r>
          </w:p>
        </w:tc>
        <w:tc>
          <w:tcPr>
            <w:tcW w:w="1813" w:type="dxa"/>
          </w:tcPr>
          <w:p w14:paraId="39E52E6E" w14:textId="77777777" w:rsidR="00EA52CC" w:rsidRPr="00943454" w:rsidRDefault="00EA52CC" w:rsidP="003013A8">
            <w:pPr>
              <w:jc w:val="center"/>
            </w:pPr>
            <w:r>
              <w:t>800</w:t>
            </w:r>
            <w:r w:rsidRPr="00943454">
              <w:t xml:space="preserve"> TL</w:t>
            </w:r>
          </w:p>
        </w:tc>
      </w:tr>
      <w:tr w:rsidR="00EA52CC" w:rsidRPr="00943454" w14:paraId="42BCF60D" w14:textId="77777777" w:rsidTr="003013A8">
        <w:tc>
          <w:tcPr>
            <w:tcW w:w="9062" w:type="dxa"/>
            <w:gridSpan w:val="5"/>
          </w:tcPr>
          <w:p w14:paraId="4719A302" w14:textId="77777777" w:rsidR="00EA52CC" w:rsidRPr="00943454" w:rsidRDefault="00EA52CC" w:rsidP="003013A8">
            <w:pPr>
              <w:tabs>
                <w:tab w:val="left" w:pos="4941"/>
              </w:tabs>
              <w:jc w:val="center"/>
              <w:rPr>
                <w:b/>
              </w:rPr>
            </w:pPr>
            <w:r w:rsidRPr="00943454">
              <w:rPr>
                <w:b/>
              </w:rPr>
              <w:t xml:space="preserve">1 AY TOPLAM 12 SEANSTIR. </w:t>
            </w:r>
          </w:p>
          <w:p w14:paraId="3D8F6FB3" w14:textId="77777777" w:rsidR="00EA52CC" w:rsidRPr="00943454" w:rsidRDefault="00EA52CC" w:rsidP="003013A8">
            <w:pPr>
              <w:tabs>
                <w:tab w:val="left" w:pos="4941"/>
              </w:tabs>
              <w:jc w:val="center"/>
            </w:pPr>
            <w:r w:rsidRPr="00943454">
              <w:t>(1 SEANS SÜRESİ 1,5 SAATTİR)</w:t>
            </w:r>
          </w:p>
        </w:tc>
      </w:tr>
    </w:tbl>
    <w:p w14:paraId="3A640F90" w14:textId="77777777" w:rsidR="00EA52CC" w:rsidRDefault="00EA52CC" w:rsidP="00EA52CC">
      <w:pPr>
        <w:rPr>
          <w:b/>
        </w:rPr>
      </w:pPr>
    </w:p>
    <w:p w14:paraId="2BB5D16B" w14:textId="77777777" w:rsidR="00EA52CC" w:rsidRDefault="00EA52CC" w:rsidP="00EA52CC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2CC" w:rsidRPr="00943454" w14:paraId="38324275" w14:textId="77777777" w:rsidTr="003013A8">
        <w:tc>
          <w:tcPr>
            <w:tcW w:w="9062" w:type="dxa"/>
            <w:gridSpan w:val="2"/>
          </w:tcPr>
          <w:p w14:paraId="792FC1FF" w14:textId="77777777" w:rsidR="00EA52CC" w:rsidRPr="00943454" w:rsidRDefault="00EA52CC" w:rsidP="003013A8">
            <w:pPr>
              <w:jc w:val="center"/>
            </w:pPr>
            <w:r w:rsidRPr="00943454">
              <w:rPr>
                <w:b/>
              </w:rPr>
              <w:t>YÜZME KURSU ÜCRETLERİ</w:t>
            </w:r>
          </w:p>
        </w:tc>
      </w:tr>
      <w:tr w:rsidR="00EA52CC" w:rsidRPr="00943454" w14:paraId="5FFB91CC" w14:textId="77777777" w:rsidTr="003013A8">
        <w:tc>
          <w:tcPr>
            <w:tcW w:w="4531" w:type="dxa"/>
          </w:tcPr>
          <w:p w14:paraId="7B2C4EDA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YETİŞKİN</w:t>
            </w:r>
            <w:r>
              <w:rPr>
                <w:b/>
              </w:rPr>
              <w:t xml:space="preserve"> AYLIK</w:t>
            </w:r>
          </w:p>
        </w:tc>
        <w:tc>
          <w:tcPr>
            <w:tcW w:w="4531" w:type="dxa"/>
          </w:tcPr>
          <w:p w14:paraId="6DDA04EB" w14:textId="77777777" w:rsidR="00EA52CC" w:rsidRPr="00943454" w:rsidRDefault="00EA52CC" w:rsidP="003013A8">
            <w:r w:rsidRPr="00943454">
              <w:t xml:space="preserve">               </w:t>
            </w:r>
            <w:r>
              <w:t>300</w:t>
            </w:r>
            <w:r w:rsidRPr="00943454">
              <w:t xml:space="preserve"> TL</w:t>
            </w:r>
          </w:p>
        </w:tc>
      </w:tr>
      <w:tr w:rsidR="00EA52CC" w:rsidRPr="00943454" w14:paraId="2206119D" w14:textId="77777777" w:rsidTr="003013A8">
        <w:tc>
          <w:tcPr>
            <w:tcW w:w="4531" w:type="dxa"/>
          </w:tcPr>
          <w:p w14:paraId="511524A3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ÖĞRENCİ</w:t>
            </w:r>
            <w:r>
              <w:rPr>
                <w:b/>
              </w:rPr>
              <w:t xml:space="preserve"> AYLIK</w:t>
            </w:r>
          </w:p>
        </w:tc>
        <w:tc>
          <w:tcPr>
            <w:tcW w:w="4531" w:type="dxa"/>
          </w:tcPr>
          <w:p w14:paraId="332B5FC7" w14:textId="77777777" w:rsidR="00EA52CC" w:rsidRPr="00943454" w:rsidRDefault="00EA52CC" w:rsidP="003013A8">
            <w:r w:rsidRPr="00943454">
              <w:t xml:space="preserve">               </w:t>
            </w:r>
            <w:r>
              <w:t>150</w:t>
            </w:r>
            <w:r w:rsidRPr="00943454">
              <w:t xml:space="preserve"> TL</w:t>
            </w:r>
          </w:p>
        </w:tc>
      </w:tr>
      <w:tr w:rsidR="00EA52CC" w:rsidRPr="00943454" w14:paraId="32B14760" w14:textId="77777777" w:rsidTr="003013A8">
        <w:tc>
          <w:tcPr>
            <w:tcW w:w="9062" w:type="dxa"/>
            <w:gridSpan w:val="2"/>
          </w:tcPr>
          <w:p w14:paraId="5DDE6FFA" w14:textId="77777777" w:rsidR="00EA52CC" w:rsidRPr="00943454" w:rsidRDefault="00EA52CC" w:rsidP="003013A8">
            <w:pPr>
              <w:jc w:val="center"/>
              <w:rPr>
                <w:b/>
              </w:rPr>
            </w:pPr>
            <w:r w:rsidRPr="00943454">
              <w:rPr>
                <w:b/>
              </w:rPr>
              <w:t>1 AY TOPLAM 8 SEANSTIR.</w:t>
            </w:r>
          </w:p>
          <w:p w14:paraId="397AAFA6" w14:textId="77777777" w:rsidR="00EA52CC" w:rsidRPr="00943454" w:rsidRDefault="00EA52CC" w:rsidP="003013A8">
            <w:pPr>
              <w:jc w:val="center"/>
            </w:pPr>
            <w:r w:rsidRPr="00943454">
              <w:t>(1 SEANS SÜRESİ 1 SAATTİR)</w:t>
            </w:r>
          </w:p>
        </w:tc>
      </w:tr>
    </w:tbl>
    <w:p w14:paraId="0D8B6C77" w14:textId="77777777" w:rsidR="00EA52CC" w:rsidRDefault="00EA52CC" w:rsidP="00EA52CC">
      <w:pPr>
        <w:rPr>
          <w:b/>
        </w:rPr>
      </w:pPr>
    </w:p>
    <w:p w14:paraId="38CCD4F7" w14:textId="77777777" w:rsidR="00EA52CC" w:rsidRDefault="00EA52CC" w:rsidP="00EA52CC">
      <w:pPr>
        <w:jc w:val="center"/>
        <w:rPr>
          <w:b/>
        </w:rPr>
      </w:pPr>
    </w:p>
    <w:p w14:paraId="4EBF981B" w14:textId="2B39BF92" w:rsidR="00485CF3" w:rsidRPr="00EA52CC" w:rsidRDefault="0034616D" w:rsidP="00EA52CC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A52CC">
        <w:rPr>
          <w:sz w:val="24"/>
          <w:szCs w:val="24"/>
        </w:rPr>
        <w:t>Meclisimizin görüşlerine arz ederiz.</w:t>
      </w:r>
      <w:proofErr w:type="gramStart"/>
      <w:r w:rsidR="00837BF8" w:rsidRPr="00EA52CC">
        <w:rPr>
          <w:sz w:val="24"/>
          <w:szCs w:val="24"/>
        </w:rPr>
        <w:t>)</w:t>
      </w:r>
      <w:proofErr w:type="gramEnd"/>
      <w:r w:rsidR="00895C6A" w:rsidRPr="00EA52CC">
        <w:rPr>
          <w:sz w:val="24"/>
          <w:szCs w:val="24"/>
        </w:rPr>
        <w:t xml:space="preserve">  O</w:t>
      </w:r>
      <w:r w:rsidR="00485CF3" w:rsidRPr="00EA52CC">
        <w:rPr>
          <w:sz w:val="24"/>
          <w:szCs w:val="24"/>
        </w:rPr>
        <w:t>kundu.</w:t>
      </w:r>
    </w:p>
    <w:p w14:paraId="626685F2" w14:textId="5CD9FC1D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EA52CC" w:rsidRPr="007254C1">
        <w:rPr>
          <w:rFonts w:eastAsia="Calibri"/>
          <w:lang w:eastAsia="en-US"/>
        </w:rPr>
        <w:t xml:space="preserve">Mustafa Kemal, </w:t>
      </w:r>
      <w:proofErr w:type="spellStart"/>
      <w:r w:rsidR="00EA52CC" w:rsidRPr="007254C1">
        <w:rPr>
          <w:rFonts w:eastAsia="Calibri"/>
          <w:lang w:eastAsia="en-US"/>
        </w:rPr>
        <w:t>Törekent</w:t>
      </w:r>
      <w:proofErr w:type="spellEnd"/>
      <w:r w:rsidR="00EA52CC" w:rsidRPr="007254C1">
        <w:rPr>
          <w:rFonts w:eastAsia="Calibri"/>
          <w:lang w:eastAsia="en-US"/>
        </w:rPr>
        <w:t xml:space="preserve"> ve Yeni </w:t>
      </w:r>
      <w:proofErr w:type="spellStart"/>
      <w:r w:rsidR="00EA52CC" w:rsidRPr="007254C1">
        <w:rPr>
          <w:rFonts w:eastAsia="Calibri"/>
          <w:lang w:eastAsia="en-US"/>
        </w:rPr>
        <w:t>Çimşit</w:t>
      </w:r>
      <w:proofErr w:type="spellEnd"/>
      <w:r w:rsidR="00EA52CC" w:rsidRPr="007254C1">
        <w:rPr>
          <w:rFonts w:eastAsia="Calibri"/>
          <w:lang w:eastAsia="en-US"/>
        </w:rPr>
        <w:t xml:space="preserve"> Mahallelerinde yeni açılacak Yarı Olimpik Kapalı Yüzme Havuzlarında uygulanacak üyelik ve yüzme kursu </w:t>
      </w:r>
      <w:r w:rsidR="00EA52CC" w:rsidRPr="003E7C48">
        <w:t xml:space="preserve">ücret tarifesinin belirlenmesi ile ilgili </w:t>
      </w:r>
      <w:r w:rsidR="00EA52CC" w:rsidRPr="00EA52CC">
        <w:rPr>
          <w:rFonts w:eastAsia="Calibri"/>
          <w:bCs/>
        </w:rPr>
        <w:t>Hukuk ve Tarifeler Komisyonu</w:t>
      </w:r>
      <w:r w:rsidR="00EA52CC" w:rsidRPr="00EA52CC">
        <w:t xml:space="preserve"> ile </w:t>
      </w:r>
      <w:r w:rsidR="00EA52CC" w:rsidRPr="00EA52CC">
        <w:rPr>
          <w:rFonts w:eastAsia="Calibri"/>
          <w:bCs/>
        </w:rPr>
        <w:t>Plan ve Bütçe Komisyonu</w:t>
      </w:r>
      <w:r w:rsidR="00EA52CC" w:rsidRPr="007254C1">
        <w:rPr>
          <w:rFonts w:eastAsia="Calibri"/>
          <w:bCs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EA52CC">
        <w:t>8.05</w:t>
      </w:r>
      <w:r w:rsidR="00EB470B">
        <w:t>.2023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3559ABEC" w14:textId="77777777" w:rsidR="00895C6A" w:rsidRDefault="00895C6A" w:rsidP="00EA52CC">
      <w:pPr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765298E" w14:textId="77777777" w:rsidR="00EA52CC" w:rsidRDefault="00EA52CC">
      <w:pPr>
        <w:ind w:firstLine="708"/>
        <w:jc w:val="both"/>
      </w:pPr>
    </w:p>
    <w:p w14:paraId="3B7A8A22" w14:textId="44884FC9" w:rsidR="001A03DF" w:rsidRDefault="00D65E5B" w:rsidP="001A03DF">
      <w:r>
        <w:t xml:space="preserve">      </w:t>
      </w:r>
      <w:bookmarkStart w:id="1" w:name="_GoBack"/>
      <w:bookmarkEnd w:id="1"/>
      <w:r>
        <w:t>Mustafa ÜNVER</w:t>
      </w:r>
      <w:r w:rsidR="001A03DF">
        <w:tab/>
        <w:t xml:space="preserve">                              Serkan T</w:t>
      </w:r>
      <w:r w:rsidR="00EA52CC">
        <w:t>EKGÜMÜŞ                    Fatma Nur AYDOĞAN</w:t>
      </w:r>
      <w:r w:rsidR="001A03DF"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2195" w14:textId="77777777" w:rsidR="00AB118F" w:rsidRDefault="00AB118F">
      <w:r>
        <w:separator/>
      </w:r>
    </w:p>
  </w:endnote>
  <w:endnote w:type="continuationSeparator" w:id="0">
    <w:p w14:paraId="40C78E94" w14:textId="77777777" w:rsidR="00AB118F" w:rsidRDefault="00AB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2D04" w14:textId="77777777" w:rsidR="00AB118F" w:rsidRDefault="00AB118F">
      <w:r>
        <w:separator/>
      </w:r>
    </w:p>
  </w:footnote>
  <w:footnote w:type="continuationSeparator" w:id="0">
    <w:p w14:paraId="0AB9F61A" w14:textId="77777777" w:rsidR="00AB118F" w:rsidRDefault="00AB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B59E17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A52CC">
      <w:rPr>
        <w:b/>
      </w:rPr>
      <w:t>10</w:t>
    </w:r>
    <w:r w:rsidR="00270283">
      <w:rPr>
        <w:b/>
      </w:rPr>
      <w:t>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A52CC">
      <w:rPr>
        <w:b/>
      </w:rPr>
      <w:t>8.05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B053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118F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65E5B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52CC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A52C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51AA-20AC-49A6-8582-842DC077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14</cp:revision>
  <cp:lastPrinted>2023-05-08T07:39:00Z</cp:lastPrinted>
  <dcterms:created xsi:type="dcterms:W3CDTF">2020-08-07T07:47:00Z</dcterms:created>
  <dcterms:modified xsi:type="dcterms:W3CDTF">2023-05-08T07:39:00Z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